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9B" w:rsidRPr="001A192D" w:rsidRDefault="00C754AE" w:rsidP="002F64E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Election</w:t>
      </w:r>
      <w:r w:rsidR="00400D78">
        <w:rPr>
          <w:b/>
          <w:sz w:val="26"/>
          <w:szCs w:val="26"/>
        </w:rPr>
        <w:t xml:space="preserve"> Process</w:t>
      </w:r>
      <w:r>
        <w:rPr>
          <w:b/>
          <w:sz w:val="26"/>
          <w:szCs w:val="26"/>
        </w:rPr>
        <w:t xml:space="preserve"> of National Volunteer Representative to Inter</w:t>
      </w:r>
      <w:r w:rsidR="002E314B">
        <w:rPr>
          <w:b/>
          <w:sz w:val="26"/>
          <w:szCs w:val="26"/>
        </w:rPr>
        <w:t xml:space="preserve"> A</w:t>
      </w:r>
      <w:r>
        <w:rPr>
          <w:b/>
          <w:sz w:val="26"/>
          <w:szCs w:val="26"/>
        </w:rPr>
        <w:t>gency Guidance Team (IGT)</w:t>
      </w:r>
      <w:r w:rsidR="002F64EC" w:rsidRPr="001A192D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12</w:t>
      </w:r>
      <w:r w:rsidRPr="00C754AE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October 2019</w:t>
      </w:r>
    </w:p>
    <w:p w:rsidR="002F64EC" w:rsidRPr="001A192D" w:rsidRDefault="002F64EC" w:rsidP="002F64EC">
      <w:pPr>
        <w:spacing w:after="0" w:line="240" w:lineRule="auto"/>
        <w:jc w:val="center"/>
        <w:rPr>
          <w:b/>
          <w:sz w:val="26"/>
          <w:szCs w:val="26"/>
        </w:rPr>
      </w:pPr>
    </w:p>
    <w:p w:rsidR="001A192D" w:rsidRPr="001A192D" w:rsidRDefault="001A192D" w:rsidP="002F64EC">
      <w:pPr>
        <w:spacing w:after="0" w:line="240" w:lineRule="auto"/>
        <w:rPr>
          <w:b/>
          <w:sz w:val="26"/>
          <w:szCs w:val="26"/>
        </w:rPr>
      </w:pPr>
    </w:p>
    <w:p w:rsidR="002E314B" w:rsidRDefault="00400D78" w:rsidP="00C30C7E">
      <w:pPr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The </w:t>
      </w:r>
      <w:r w:rsidR="00D004CE">
        <w:rPr>
          <w:lang w:val="en-US"/>
        </w:rPr>
        <w:t>former</w:t>
      </w:r>
      <w:r>
        <w:rPr>
          <w:lang w:val="en-US"/>
        </w:rPr>
        <w:t xml:space="preserve"> national volunteer representative on the Inter Agency guidance Team (IGT) Mr. Fergal Conroy, </w:t>
      </w:r>
      <w:r w:rsidR="002E314B">
        <w:rPr>
          <w:lang w:val="en-US"/>
        </w:rPr>
        <w:t>notified the Civil Defence Branch of the Department of Defence that he was stepping down</w:t>
      </w:r>
      <w:r w:rsidR="00D004CE">
        <w:rPr>
          <w:lang w:val="en-US"/>
        </w:rPr>
        <w:t xml:space="preserve"> on 26</w:t>
      </w:r>
      <w:r w:rsidR="00D004CE" w:rsidRPr="00D004CE">
        <w:rPr>
          <w:vertAlign w:val="superscript"/>
          <w:lang w:val="en-US"/>
        </w:rPr>
        <w:t>th</w:t>
      </w:r>
      <w:r w:rsidR="00D004CE">
        <w:rPr>
          <w:lang w:val="en-US"/>
        </w:rPr>
        <w:t xml:space="preserve"> July 2019</w:t>
      </w:r>
      <w:r w:rsidR="002E314B">
        <w:rPr>
          <w:lang w:val="en-US"/>
        </w:rPr>
        <w:t xml:space="preserve">. This was as a result of his appointment as </w:t>
      </w:r>
      <w:r w:rsidR="00D004CE">
        <w:rPr>
          <w:lang w:val="en-US"/>
        </w:rPr>
        <w:t>Ci</w:t>
      </w:r>
      <w:r>
        <w:rPr>
          <w:lang w:val="en-US"/>
        </w:rPr>
        <w:t>vil Defence Officer</w:t>
      </w:r>
      <w:r w:rsidR="00D004CE">
        <w:rPr>
          <w:lang w:val="en-US"/>
        </w:rPr>
        <w:t xml:space="preserve"> in Roscommon</w:t>
      </w:r>
      <w:r>
        <w:rPr>
          <w:lang w:val="en-US"/>
        </w:rPr>
        <w:t xml:space="preserve">. </w:t>
      </w:r>
    </w:p>
    <w:p w:rsidR="002E314B" w:rsidRDefault="002E314B" w:rsidP="00C30C7E">
      <w:pPr>
        <w:spacing w:after="0" w:line="240" w:lineRule="auto"/>
        <w:contextualSpacing/>
        <w:jc w:val="both"/>
        <w:rPr>
          <w:lang w:val="en-US"/>
        </w:rPr>
      </w:pPr>
    </w:p>
    <w:p w:rsidR="002E314B" w:rsidRDefault="00400D78" w:rsidP="00C30C7E">
      <w:pPr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>It was therefore necessary to select a successor</w:t>
      </w:r>
      <w:r w:rsidR="002E314B">
        <w:rPr>
          <w:lang w:val="en-US"/>
        </w:rPr>
        <w:t>,</w:t>
      </w:r>
      <w:r>
        <w:rPr>
          <w:lang w:val="en-US"/>
        </w:rPr>
        <w:t xml:space="preserve"> to ensure </w:t>
      </w:r>
      <w:r w:rsidRPr="00382673">
        <w:rPr>
          <w:lang w:val="en-US"/>
        </w:rPr>
        <w:t xml:space="preserve">volunteers </w:t>
      </w:r>
      <w:r>
        <w:rPr>
          <w:lang w:val="en-US"/>
        </w:rPr>
        <w:t>continue to be</w:t>
      </w:r>
      <w:r w:rsidRPr="00382673">
        <w:rPr>
          <w:lang w:val="en-US"/>
        </w:rPr>
        <w:t xml:space="preserve"> represented on the IGT.</w:t>
      </w:r>
      <w:r w:rsidR="00D004CE">
        <w:rPr>
          <w:lang w:val="en-US"/>
        </w:rPr>
        <w:t xml:space="preserve"> </w:t>
      </w:r>
    </w:p>
    <w:p w:rsidR="002E314B" w:rsidRDefault="002E314B" w:rsidP="00C30C7E">
      <w:pPr>
        <w:spacing w:after="0" w:line="240" w:lineRule="auto"/>
        <w:contextualSpacing/>
        <w:jc w:val="both"/>
        <w:rPr>
          <w:lang w:val="en-US"/>
        </w:rPr>
      </w:pPr>
    </w:p>
    <w:p w:rsidR="002E314B" w:rsidRDefault="00D004CE" w:rsidP="00C30C7E">
      <w:pPr>
        <w:spacing w:after="0" w:line="240" w:lineRule="auto"/>
        <w:contextualSpacing/>
        <w:jc w:val="both"/>
        <w:rPr>
          <w:i/>
          <w:lang w:val="en-US"/>
        </w:rPr>
      </w:pPr>
      <w:r>
        <w:rPr>
          <w:lang w:val="en-US"/>
        </w:rPr>
        <w:t>The IGT</w:t>
      </w:r>
      <w:r w:rsidR="002E314B">
        <w:rPr>
          <w:lang w:val="en-US"/>
        </w:rPr>
        <w:t xml:space="preserve"> was established in 2016 on foot of the publication of the 2015 Government White Paper on Defence. The role of the IGT is to ensure that </w:t>
      </w:r>
      <w:r w:rsidR="002E314B" w:rsidRPr="002E314B">
        <w:rPr>
          <w:i/>
          <w:lang w:val="en-US"/>
        </w:rPr>
        <w:t>“Civil Defence services and capabilities are developed in light of the needs of the PRAs under the MEM”</w:t>
      </w:r>
      <w:r w:rsidR="002E314B">
        <w:rPr>
          <w:lang w:val="en-US"/>
        </w:rPr>
        <w:t xml:space="preserve">. It is also to ensure </w:t>
      </w:r>
      <w:r w:rsidR="002E314B" w:rsidRPr="002E314B">
        <w:rPr>
          <w:i/>
          <w:lang w:val="en-US"/>
        </w:rPr>
        <w:t>“that Civil Defence services remain relevant to changing needs at national, regional and local level</w:t>
      </w:r>
      <w:r w:rsidR="002E314B" w:rsidRPr="002E314B">
        <w:rPr>
          <w:lang w:val="en-US"/>
        </w:rPr>
        <w:t>”.</w:t>
      </w:r>
    </w:p>
    <w:p w:rsidR="002E314B" w:rsidRDefault="002E314B" w:rsidP="00C30C7E">
      <w:pPr>
        <w:spacing w:after="0" w:line="240" w:lineRule="auto"/>
        <w:contextualSpacing/>
        <w:jc w:val="both"/>
        <w:rPr>
          <w:i/>
          <w:lang w:val="en-US"/>
        </w:rPr>
      </w:pPr>
    </w:p>
    <w:p w:rsidR="001A192D" w:rsidRDefault="002E314B" w:rsidP="00C30C7E">
      <w:pPr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It has met </w:t>
      </w:r>
      <w:r w:rsidR="00D004CE">
        <w:rPr>
          <w:lang w:val="en-US"/>
        </w:rPr>
        <w:t>six times since its establishment in 2016. The next meeting is scheduled for 1</w:t>
      </w:r>
      <w:r w:rsidR="00554484">
        <w:rPr>
          <w:lang w:val="en-US"/>
        </w:rPr>
        <w:t>3</w:t>
      </w:r>
      <w:r w:rsidR="00554484" w:rsidRPr="00554484">
        <w:rPr>
          <w:vertAlign w:val="superscript"/>
          <w:lang w:val="en-US"/>
        </w:rPr>
        <w:t>th</w:t>
      </w:r>
      <w:r w:rsidR="00554484">
        <w:rPr>
          <w:lang w:val="en-US"/>
        </w:rPr>
        <w:t xml:space="preserve"> </w:t>
      </w:r>
      <w:r w:rsidR="00D004CE">
        <w:rPr>
          <w:lang w:val="en-US"/>
        </w:rPr>
        <w:t>November</w:t>
      </w:r>
      <w:r>
        <w:rPr>
          <w:lang w:val="en-US"/>
        </w:rPr>
        <w:t xml:space="preserve"> 2019</w:t>
      </w:r>
      <w:r w:rsidR="00D004CE">
        <w:rPr>
          <w:lang w:val="en-US"/>
        </w:rPr>
        <w:t xml:space="preserve">. </w:t>
      </w:r>
    </w:p>
    <w:p w:rsidR="00400D78" w:rsidRDefault="00400D78" w:rsidP="00C30C7E">
      <w:pPr>
        <w:spacing w:after="0" w:line="240" w:lineRule="auto"/>
        <w:contextualSpacing/>
        <w:jc w:val="both"/>
        <w:rPr>
          <w:lang w:val="en-US"/>
        </w:rPr>
      </w:pPr>
    </w:p>
    <w:p w:rsidR="00400D78" w:rsidRDefault="002E314B" w:rsidP="00C30C7E">
      <w:pPr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>The d</w:t>
      </w:r>
      <w:r w:rsidR="00400D78">
        <w:rPr>
          <w:lang w:val="en-US"/>
        </w:rPr>
        <w:t>raft Circular</w:t>
      </w:r>
      <w:r>
        <w:rPr>
          <w:lang w:val="en-US"/>
        </w:rPr>
        <w:t xml:space="preserve"> outlining “arrangements for the election of a volunteer representative on the Civil Defence </w:t>
      </w:r>
      <w:r w:rsidR="006C216D">
        <w:rPr>
          <w:lang w:val="en-US"/>
        </w:rPr>
        <w:t xml:space="preserve">Inter Agency Guidance Team” was sent to </w:t>
      </w:r>
      <w:r w:rsidR="00400D78">
        <w:rPr>
          <w:lang w:val="en-US"/>
        </w:rPr>
        <w:t xml:space="preserve">Local Authorities </w:t>
      </w:r>
      <w:r w:rsidR="006C216D">
        <w:rPr>
          <w:lang w:val="en-US"/>
        </w:rPr>
        <w:t xml:space="preserve">for their observations </w:t>
      </w:r>
      <w:r w:rsidR="00400D78">
        <w:rPr>
          <w:lang w:val="en-US"/>
        </w:rPr>
        <w:t xml:space="preserve">on </w:t>
      </w:r>
      <w:r w:rsidR="00836B41">
        <w:rPr>
          <w:lang w:val="en-US"/>
        </w:rPr>
        <w:t>30</w:t>
      </w:r>
      <w:r w:rsidR="00836B41" w:rsidRPr="00836B41">
        <w:rPr>
          <w:vertAlign w:val="superscript"/>
          <w:lang w:val="en-US"/>
        </w:rPr>
        <w:t>th</w:t>
      </w:r>
      <w:r w:rsidR="00836B41">
        <w:rPr>
          <w:lang w:val="en-US"/>
        </w:rPr>
        <w:t xml:space="preserve"> July 2019</w:t>
      </w:r>
      <w:r w:rsidR="006C216D">
        <w:rPr>
          <w:lang w:val="en-US"/>
        </w:rPr>
        <w:t>. Following feedback, the f</w:t>
      </w:r>
      <w:r w:rsidR="00400D78">
        <w:rPr>
          <w:lang w:val="en-US"/>
        </w:rPr>
        <w:t>inal version</w:t>
      </w:r>
      <w:r w:rsidR="006C216D">
        <w:rPr>
          <w:lang w:val="en-US"/>
        </w:rPr>
        <w:t xml:space="preserve"> (</w:t>
      </w:r>
      <w:r w:rsidR="00400D78">
        <w:rPr>
          <w:lang w:val="en-US"/>
        </w:rPr>
        <w:t>Circular 5</w:t>
      </w:r>
      <w:r w:rsidR="006C216D">
        <w:rPr>
          <w:lang w:val="en-US"/>
        </w:rPr>
        <w:t xml:space="preserve">/2019) </w:t>
      </w:r>
      <w:r w:rsidR="00400D78">
        <w:rPr>
          <w:lang w:val="en-US"/>
        </w:rPr>
        <w:t xml:space="preserve">issued </w:t>
      </w:r>
      <w:r w:rsidR="006C216D">
        <w:rPr>
          <w:lang w:val="en-US"/>
        </w:rPr>
        <w:t xml:space="preserve">to Local Authorities </w:t>
      </w:r>
      <w:r w:rsidR="00400D78">
        <w:rPr>
          <w:lang w:val="en-US"/>
        </w:rPr>
        <w:t xml:space="preserve">on </w:t>
      </w:r>
      <w:r w:rsidR="00836B41">
        <w:rPr>
          <w:lang w:val="en-US"/>
        </w:rPr>
        <w:t>22</w:t>
      </w:r>
      <w:r w:rsidR="00836B41" w:rsidRPr="00836B41">
        <w:rPr>
          <w:vertAlign w:val="superscript"/>
          <w:lang w:val="en-US"/>
        </w:rPr>
        <w:t>nd</w:t>
      </w:r>
      <w:r w:rsidR="00836B41">
        <w:rPr>
          <w:lang w:val="en-US"/>
        </w:rPr>
        <w:t xml:space="preserve"> August 2019</w:t>
      </w:r>
      <w:r w:rsidR="00400D78">
        <w:rPr>
          <w:lang w:val="en-US"/>
        </w:rPr>
        <w:t xml:space="preserve">. </w:t>
      </w:r>
    </w:p>
    <w:p w:rsidR="00836B41" w:rsidRDefault="00836B41" w:rsidP="00C30C7E">
      <w:pPr>
        <w:spacing w:after="0" w:line="240" w:lineRule="auto"/>
        <w:contextualSpacing/>
        <w:jc w:val="both"/>
        <w:rPr>
          <w:lang w:val="en-US"/>
        </w:rPr>
      </w:pPr>
    </w:p>
    <w:p w:rsidR="00836B41" w:rsidRDefault="00836B41" w:rsidP="00C30C7E">
      <w:pPr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Following the completion of the local representative </w:t>
      </w:r>
      <w:r w:rsidR="00A876E5">
        <w:rPr>
          <w:lang w:val="en-US"/>
        </w:rPr>
        <w:t>election process</w:t>
      </w:r>
      <w:r w:rsidR="00554484">
        <w:rPr>
          <w:lang w:val="en-US"/>
        </w:rPr>
        <w:t>,</w:t>
      </w:r>
      <w:r w:rsidR="00A876E5">
        <w:rPr>
          <w:lang w:val="en-US"/>
        </w:rPr>
        <w:t xml:space="preserve"> </w:t>
      </w:r>
      <w:r>
        <w:rPr>
          <w:lang w:val="en-US"/>
        </w:rPr>
        <w:t xml:space="preserve">the following are the returns received per </w:t>
      </w:r>
      <w:r w:rsidR="00537FE0">
        <w:rPr>
          <w:lang w:val="en-US"/>
        </w:rPr>
        <w:t>Local Authority Civil Defence Unit</w:t>
      </w:r>
      <w:r>
        <w:rPr>
          <w:lang w:val="en-US"/>
        </w:rPr>
        <w:t>:</w:t>
      </w:r>
      <w:r w:rsidR="0025349C">
        <w:rPr>
          <w:lang w:val="en-US"/>
        </w:rPr>
        <w:t xml:space="preserve">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836B41" w:rsidRPr="00836B41" w:rsidTr="00C211A3">
        <w:trPr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484" w:rsidRPr="00554484" w:rsidRDefault="00554484" w:rsidP="00C30C7E">
            <w:pPr>
              <w:spacing w:after="0" w:line="240" w:lineRule="auto"/>
              <w:contextualSpacing/>
              <w:jc w:val="both"/>
              <w:rPr>
                <w:rFonts w:ascii="Baskerville" w:eastAsia="Times New Roman" w:hAnsi="Baskerville" w:cs="Arial"/>
                <w:bCs/>
                <w:sz w:val="28"/>
                <w:szCs w:val="28"/>
                <w:lang w:eastAsia="en-I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6"/>
              <w:gridCol w:w="5130"/>
            </w:tblGrid>
            <w:tr w:rsidR="00554484" w:rsidRPr="00554484" w:rsidTr="00C30C7E">
              <w:tc>
                <w:tcPr>
                  <w:tcW w:w="3716" w:type="dxa"/>
                </w:tcPr>
                <w:p w:rsidR="00554484" w:rsidRPr="00554484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/>
                      <w:bCs/>
                      <w:lang w:eastAsia="en-IE"/>
                    </w:rPr>
                  </w:pPr>
                  <w:r w:rsidRPr="00554484">
                    <w:rPr>
                      <w:rFonts w:eastAsia="Times New Roman" w:cs="Arial"/>
                      <w:b/>
                      <w:bCs/>
                      <w:lang w:eastAsia="en-IE"/>
                    </w:rPr>
                    <w:t>County</w:t>
                  </w:r>
                </w:p>
              </w:tc>
              <w:tc>
                <w:tcPr>
                  <w:tcW w:w="5130" w:type="dxa"/>
                </w:tcPr>
                <w:p w:rsidR="00554484" w:rsidRPr="00554484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/>
                      <w:bCs/>
                      <w:lang w:eastAsia="en-IE"/>
                    </w:rPr>
                  </w:pPr>
                  <w:r>
                    <w:rPr>
                      <w:rFonts w:eastAsia="Times New Roman" w:cs="Arial"/>
                      <w:b/>
                      <w:bCs/>
                      <w:lang w:eastAsia="en-IE"/>
                    </w:rPr>
                    <w:t xml:space="preserve">Name of </w:t>
                  </w:r>
                  <w:r w:rsidRPr="00554484">
                    <w:rPr>
                      <w:rFonts w:eastAsia="Times New Roman" w:cs="Arial"/>
                      <w:b/>
                      <w:bCs/>
                      <w:lang w:eastAsia="en-IE"/>
                    </w:rPr>
                    <w:t>Local Volunteer Representative</w:t>
                  </w:r>
                </w:p>
              </w:tc>
            </w:tr>
            <w:tr w:rsidR="00554484" w:rsidRPr="00554484" w:rsidTr="00C30C7E">
              <w:tc>
                <w:tcPr>
                  <w:tcW w:w="3716" w:type="dxa"/>
                </w:tcPr>
                <w:p w:rsidR="00554484" w:rsidRPr="00C30C7E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Dublin</w:t>
                  </w:r>
                </w:p>
              </w:tc>
              <w:tc>
                <w:tcPr>
                  <w:tcW w:w="5130" w:type="dxa"/>
                </w:tcPr>
                <w:p w:rsidR="00554484" w:rsidRPr="00C30C7E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Paul Morgan</w:t>
                  </w:r>
                </w:p>
              </w:tc>
            </w:tr>
            <w:tr w:rsidR="00554484" w:rsidRPr="00554484" w:rsidTr="00C30C7E">
              <w:tc>
                <w:tcPr>
                  <w:tcW w:w="3716" w:type="dxa"/>
                </w:tcPr>
                <w:p w:rsidR="00554484" w:rsidRPr="00C30C7E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Limerick</w:t>
                  </w:r>
                </w:p>
              </w:tc>
              <w:tc>
                <w:tcPr>
                  <w:tcW w:w="5130" w:type="dxa"/>
                </w:tcPr>
                <w:p w:rsidR="00554484" w:rsidRPr="00C30C7E" w:rsidRDefault="00E93E8D" w:rsidP="00C30C7E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>
                    <w:rPr>
                      <w:rFonts w:eastAsia="Times New Roman" w:cs="Arial"/>
                      <w:bCs/>
                      <w:lang w:eastAsia="en-IE"/>
                    </w:rPr>
                    <w:t xml:space="preserve">Michael J Ryan </w:t>
                  </w:r>
                </w:p>
              </w:tc>
            </w:tr>
            <w:tr w:rsidR="00554484" w:rsidRPr="00554484" w:rsidTr="00C30C7E">
              <w:tc>
                <w:tcPr>
                  <w:tcW w:w="3716" w:type="dxa"/>
                </w:tcPr>
                <w:p w:rsidR="00554484" w:rsidRPr="00C30C7E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Kildare</w:t>
                  </w:r>
                </w:p>
              </w:tc>
              <w:tc>
                <w:tcPr>
                  <w:tcW w:w="5130" w:type="dxa"/>
                </w:tcPr>
                <w:p w:rsidR="00554484" w:rsidRPr="00C30C7E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Anthony Doyle</w:t>
                  </w:r>
                </w:p>
              </w:tc>
            </w:tr>
            <w:tr w:rsidR="00554484" w:rsidRPr="00554484" w:rsidTr="00C30C7E">
              <w:tc>
                <w:tcPr>
                  <w:tcW w:w="3716" w:type="dxa"/>
                </w:tcPr>
                <w:p w:rsidR="00554484" w:rsidRPr="00C30C7E" w:rsidRDefault="00554484" w:rsidP="00C30C7E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Wicklow</w:t>
                  </w:r>
                </w:p>
              </w:tc>
              <w:tc>
                <w:tcPr>
                  <w:tcW w:w="5130" w:type="dxa"/>
                </w:tcPr>
                <w:p w:rsidR="00554484" w:rsidRPr="00C30C7E" w:rsidRDefault="00D46D20" w:rsidP="00D46D20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proofErr w:type="spellStart"/>
                  <w:r>
                    <w:rPr>
                      <w:rFonts w:eastAsia="Times New Roman" w:cs="Arial"/>
                      <w:bCs/>
                      <w:lang w:eastAsia="en-IE"/>
                    </w:rPr>
                    <w:t>Ger</w:t>
                  </w:r>
                  <w:proofErr w:type="spellEnd"/>
                  <w:r>
                    <w:rPr>
                      <w:rFonts w:eastAsia="Times New Roman" w:cs="Arial"/>
                      <w:bCs/>
                      <w:lang w:eastAsia="en-IE"/>
                    </w:rPr>
                    <w:t xml:space="preserve"> Keogh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>
                    <w:rPr>
                      <w:rFonts w:eastAsia="Times New Roman" w:cs="Arial"/>
                      <w:bCs/>
                      <w:lang w:eastAsia="en-IE"/>
                    </w:rPr>
                    <w:t>Westmeath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No volunteer wished to put themselves forward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Cavan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Verona Fitzpatrick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Louth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David Yore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Meath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Shane Quinn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Monaghan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Desmond Cunningham</w:t>
                  </w:r>
                  <w:bookmarkStart w:id="0" w:name="_GoBack"/>
                  <w:bookmarkEnd w:id="0"/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 xml:space="preserve">Donegal 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No volunteer wished to put themselves forward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Leitrim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Patrick McGreevy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Sligo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Philip Bishop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Laois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No volunteer wished to put themselves forward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Longford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proofErr w:type="spellStart"/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Paraic</w:t>
                  </w:r>
                  <w:proofErr w:type="spellEnd"/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 xml:space="preserve"> </w:t>
                  </w:r>
                  <w:proofErr w:type="spellStart"/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Croghan</w:t>
                  </w:r>
                  <w:proofErr w:type="spellEnd"/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Offaly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Pat J Kelly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Clare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Martin Kelly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Tipperary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 xml:space="preserve">John Crowley 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Galway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proofErr w:type="spellStart"/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Eóin</w:t>
                  </w:r>
                  <w:proofErr w:type="spellEnd"/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 xml:space="preserve"> Davy </w:t>
                  </w:r>
                  <w:proofErr w:type="spellStart"/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O'Coisdealbha</w:t>
                  </w:r>
                  <w:proofErr w:type="spellEnd"/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Mayo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Fran Power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Roscommon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Patrick Geraghty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Carlow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Gerard Doyle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Kilkenny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No Volunteer wished to put themselves forward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lastRenderedPageBreak/>
                    <w:t>Waterford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Paul Fitzgerald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Wexford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Anne Browne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Cork City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Peter Bowles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Cork North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Edel Browne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Cork West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Donal Shorten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Cork South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Chris Bri</w:t>
                  </w:r>
                  <w:r>
                    <w:rPr>
                      <w:rFonts w:eastAsia="Times New Roman" w:cs="Arial"/>
                      <w:bCs/>
                      <w:lang w:eastAsia="en-IE"/>
                    </w:rPr>
                    <w:t>s</w:t>
                  </w: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tow</w:t>
                  </w:r>
                </w:p>
              </w:tc>
            </w:tr>
            <w:tr w:rsidR="00E93E8D" w:rsidRPr="00554484" w:rsidTr="00C30C7E">
              <w:tc>
                <w:tcPr>
                  <w:tcW w:w="3716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Kerry</w:t>
                  </w:r>
                </w:p>
              </w:tc>
              <w:tc>
                <w:tcPr>
                  <w:tcW w:w="5130" w:type="dxa"/>
                </w:tcPr>
                <w:p w:rsidR="00E93E8D" w:rsidRPr="00C30C7E" w:rsidRDefault="00E93E8D" w:rsidP="00E93E8D">
                  <w:pPr>
                    <w:contextualSpacing/>
                    <w:jc w:val="center"/>
                    <w:rPr>
                      <w:rFonts w:eastAsia="Times New Roman" w:cs="Arial"/>
                      <w:bCs/>
                      <w:lang w:eastAsia="en-IE"/>
                    </w:rPr>
                  </w:pPr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 xml:space="preserve">Brendan </w:t>
                  </w:r>
                  <w:proofErr w:type="spellStart"/>
                  <w:r w:rsidRPr="00C30C7E">
                    <w:rPr>
                      <w:rFonts w:eastAsia="Times New Roman" w:cs="Arial"/>
                      <w:bCs/>
                      <w:lang w:eastAsia="en-IE"/>
                    </w:rPr>
                    <w:t>Mulvihill</w:t>
                  </w:r>
                  <w:proofErr w:type="spellEnd"/>
                </w:p>
              </w:tc>
            </w:tr>
          </w:tbl>
          <w:p w:rsidR="00554484" w:rsidRPr="00554484" w:rsidRDefault="00554484" w:rsidP="00C30C7E">
            <w:pPr>
              <w:spacing w:after="0" w:line="240" w:lineRule="auto"/>
              <w:contextualSpacing/>
              <w:jc w:val="both"/>
              <w:rPr>
                <w:rFonts w:ascii="Baskerville" w:eastAsia="Times New Roman" w:hAnsi="Baskerville" w:cs="Arial"/>
                <w:bCs/>
                <w:sz w:val="28"/>
                <w:szCs w:val="28"/>
                <w:lang w:eastAsia="en-IE"/>
              </w:rPr>
            </w:pPr>
          </w:p>
        </w:tc>
      </w:tr>
    </w:tbl>
    <w:p w:rsidR="00400D78" w:rsidRDefault="00400D78" w:rsidP="00C30C7E">
      <w:pPr>
        <w:spacing w:after="0" w:line="240" w:lineRule="auto"/>
        <w:contextualSpacing/>
        <w:jc w:val="both"/>
        <w:rPr>
          <w:lang w:val="en-US"/>
        </w:rPr>
      </w:pPr>
    </w:p>
    <w:p w:rsidR="000842EF" w:rsidRDefault="000842EF" w:rsidP="00C30C7E">
      <w:pPr>
        <w:spacing w:after="0" w:line="240" w:lineRule="auto"/>
        <w:contextualSpacing/>
        <w:jc w:val="both"/>
      </w:pPr>
      <w:r>
        <w:t>The national meeting of local authority volunteer representatives took place in Civil Defence Headquarters, Roscrea on Saturday 12</w:t>
      </w:r>
      <w:r>
        <w:rPr>
          <w:vertAlign w:val="superscript"/>
        </w:rPr>
        <w:t>th</w:t>
      </w:r>
      <w:r>
        <w:t xml:space="preserve"> October 2019. Following the ballot, </w:t>
      </w:r>
      <w:r w:rsidR="00537FE0">
        <w:t xml:space="preserve">Mr. </w:t>
      </w:r>
      <w:r w:rsidR="00840348">
        <w:t>Shane Quinn (Meath Civil Defence) w</w:t>
      </w:r>
      <w:r>
        <w:t>as chosen to represent volunteers on the IGT.</w:t>
      </w:r>
    </w:p>
    <w:p w:rsidR="00C30C7E" w:rsidRDefault="00C30C7E" w:rsidP="00C30C7E">
      <w:pPr>
        <w:spacing w:after="0" w:line="240" w:lineRule="auto"/>
        <w:contextualSpacing/>
        <w:jc w:val="both"/>
      </w:pPr>
    </w:p>
    <w:p w:rsidR="00537FE0" w:rsidRDefault="00537FE0" w:rsidP="00C30C7E">
      <w:pPr>
        <w:spacing w:after="0" w:line="240" w:lineRule="auto"/>
        <w:contextualSpacing/>
        <w:jc w:val="both"/>
      </w:pPr>
      <w:r>
        <w:t>The Civil Defence Branch of the Department of Defence c</w:t>
      </w:r>
      <w:r w:rsidR="00D004CE">
        <w:t>ongratulat</w:t>
      </w:r>
      <w:r>
        <w:t>es</w:t>
      </w:r>
      <w:r w:rsidR="00D004CE">
        <w:t xml:space="preserve"> </w:t>
      </w:r>
      <w:r w:rsidR="00840348">
        <w:t>Shane</w:t>
      </w:r>
      <w:r w:rsidR="00D004CE">
        <w:t xml:space="preserve"> on his successful election</w:t>
      </w:r>
      <w:r w:rsidR="006A74FD">
        <w:t>.</w:t>
      </w:r>
    </w:p>
    <w:p w:rsidR="00C30C7E" w:rsidRDefault="00C30C7E" w:rsidP="00C30C7E">
      <w:pPr>
        <w:spacing w:after="0" w:line="240" w:lineRule="auto"/>
        <w:contextualSpacing/>
        <w:jc w:val="both"/>
      </w:pPr>
    </w:p>
    <w:p w:rsidR="00C211A3" w:rsidRDefault="006A74FD" w:rsidP="00C30C7E">
      <w:pPr>
        <w:spacing w:after="0" w:line="240" w:lineRule="auto"/>
        <w:contextualSpacing/>
        <w:jc w:val="both"/>
      </w:pPr>
      <w:r>
        <w:t xml:space="preserve">We wish him well for </w:t>
      </w:r>
      <w:r w:rsidR="001E649B">
        <w:t xml:space="preserve">his </w:t>
      </w:r>
      <w:r>
        <w:t>two year term as a member of the IGT</w:t>
      </w:r>
      <w:r w:rsidR="00537FE0">
        <w:t xml:space="preserve"> and look forward to working </w:t>
      </w:r>
      <w:r w:rsidR="00C30C7E">
        <w:t>with him on issues of strategic policy for the organisation</w:t>
      </w:r>
      <w:r>
        <w:t>.</w:t>
      </w:r>
      <w:r w:rsidR="00D004CE">
        <w:t xml:space="preserve"> </w:t>
      </w:r>
      <w:r w:rsidR="00C211A3">
        <w:t xml:space="preserve">The Deputy National Volunteer is </w:t>
      </w:r>
      <w:r w:rsidR="00840348">
        <w:t>Verona Fitzpatrick (Cavan Civil Defence)</w:t>
      </w:r>
      <w:r w:rsidR="00C211A3">
        <w:t xml:space="preserve"> and she will deputise for </w:t>
      </w:r>
      <w:r w:rsidR="00840348">
        <w:t>Shane</w:t>
      </w:r>
      <w:r w:rsidR="00C30C7E">
        <w:t xml:space="preserve"> if/when he is not available to attend an IGT</w:t>
      </w:r>
      <w:r w:rsidR="001E649B">
        <w:t xml:space="preserve"> </w:t>
      </w:r>
      <w:r w:rsidR="00E345BD">
        <w:t>meeting</w:t>
      </w:r>
      <w:r w:rsidR="00C211A3">
        <w:t>.</w:t>
      </w:r>
    </w:p>
    <w:p w:rsidR="00C30C7E" w:rsidRDefault="00C30C7E" w:rsidP="00C211A3">
      <w:pPr>
        <w:jc w:val="both"/>
      </w:pPr>
    </w:p>
    <w:p w:rsidR="000842EF" w:rsidRDefault="000842EF" w:rsidP="002E314B">
      <w:pPr>
        <w:jc w:val="both"/>
      </w:pPr>
    </w:p>
    <w:p w:rsidR="000842EF" w:rsidRDefault="000842EF" w:rsidP="002E314B">
      <w:pPr>
        <w:jc w:val="both"/>
      </w:pPr>
    </w:p>
    <w:p w:rsidR="000842EF" w:rsidRDefault="000842EF" w:rsidP="002E314B">
      <w:pPr>
        <w:spacing w:after="0" w:line="240" w:lineRule="auto"/>
        <w:jc w:val="both"/>
        <w:rPr>
          <w:lang w:val="en-US"/>
        </w:rPr>
      </w:pPr>
    </w:p>
    <w:sectPr w:rsidR="0008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">
    <w:altName w:val="Bell MT"/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4DA5"/>
    <w:multiLevelType w:val="hybridMultilevel"/>
    <w:tmpl w:val="4580D2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EC"/>
    <w:rsid w:val="000842EF"/>
    <w:rsid w:val="001A192D"/>
    <w:rsid w:val="001E649B"/>
    <w:rsid w:val="002369F6"/>
    <w:rsid w:val="0025349C"/>
    <w:rsid w:val="002E314B"/>
    <w:rsid w:val="002F64EC"/>
    <w:rsid w:val="0034119B"/>
    <w:rsid w:val="003F5810"/>
    <w:rsid w:val="00400D78"/>
    <w:rsid w:val="00537FE0"/>
    <w:rsid w:val="00550712"/>
    <w:rsid w:val="00554484"/>
    <w:rsid w:val="006822B5"/>
    <w:rsid w:val="006A74FD"/>
    <w:rsid w:val="006C216D"/>
    <w:rsid w:val="007C4BFF"/>
    <w:rsid w:val="008219EE"/>
    <w:rsid w:val="00836B41"/>
    <w:rsid w:val="00840348"/>
    <w:rsid w:val="008E4FC9"/>
    <w:rsid w:val="00A02FC1"/>
    <w:rsid w:val="00A752E4"/>
    <w:rsid w:val="00A876E5"/>
    <w:rsid w:val="00AB6879"/>
    <w:rsid w:val="00C211A3"/>
    <w:rsid w:val="00C30C7E"/>
    <w:rsid w:val="00C754AE"/>
    <w:rsid w:val="00D004CE"/>
    <w:rsid w:val="00D46D20"/>
    <w:rsid w:val="00D70D90"/>
    <w:rsid w:val="00DB246B"/>
    <w:rsid w:val="00E311F9"/>
    <w:rsid w:val="00E345BD"/>
    <w:rsid w:val="00E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57F4"/>
  <w15:chartTrackingRefBased/>
  <w15:docId w15:val="{AF0B96F4-4A4B-4F06-8FB3-83662696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Defence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Buckley</dc:creator>
  <cp:keywords/>
  <dc:description/>
  <cp:lastModifiedBy>John Fitzpatrick</cp:lastModifiedBy>
  <cp:revision>5</cp:revision>
  <cp:lastPrinted>2019-10-08T12:09:00Z</cp:lastPrinted>
  <dcterms:created xsi:type="dcterms:W3CDTF">2019-10-14T14:22:00Z</dcterms:created>
  <dcterms:modified xsi:type="dcterms:W3CDTF">2019-10-16T09:06:00Z</dcterms:modified>
</cp:coreProperties>
</file>